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DISCIPLINA: LINGUA ITALIANA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in modo attivo ed efficace. La lettura è corretta, scorrevole ed espressiva. Comprende pienamente diverse tipologie testuali. Interagisce in varie situazioni comunicative nel rispetto delle regole con messaggi chiari, pertinenti e propositivi. Produce testi creativi e originali, corretti, coesi e coerenti.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comprende in modo attivo. La lettura è corretta, scorrevole ed espressiva. Comprende diverse tipologie testuali. Interagisce in varie situazioni comunicative nel rispetto delle regole con messaggi chiari e pertinenti. Produce testi corretti, coesi e coerenti.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coglie </w:t>
            </w:r>
            <w:r w:rsidDel="00000000" w:rsidR="00000000" w:rsidRPr="00000000">
              <w:rPr>
                <w:highlight w:val="yellow"/>
                <w:rtl w:val="0"/>
              </w:rPr>
              <w:t xml:space="preserve">le informazioni esplicite del testo</w:t>
            </w:r>
            <w:r w:rsidDel="00000000" w:rsidR="00000000" w:rsidRPr="00000000">
              <w:rPr>
                <w:rtl w:val="0"/>
              </w:rPr>
              <w:t xml:space="preserve">. La lettura è corretta e scorrevole.Comprende diverse tipologie testuali . Interagisce in varie situazioni comunicative nel rispetto delle regole con messaggi chiari e pertinenti. Produce testi corretti e coerenti.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e coglie </w:t>
            </w:r>
            <w:r w:rsidDel="00000000" w:rsidR="00000000" w:rsidRPr="00000000">
              <w:rPr>
                <w:highlight w:val="yellow"/>
                <w:rtl w:val="0"/>
              </w:rPr>
              <w:t xml:space="preserve">le informazioni principali del testo</w:t>
            </w:r>
            <w:r w:rsidDel="00000000" w:rsidR="00000000" w:rsidRPr="00000000">
              <w:rPr>
                <w:rtl w:val="0"/>
              </w:rPr>
              <w:t xml:space="preserve">. La lettura è corretta. Comprende semplici tipologie testuali . Interviene, se sollecitato,  in varie situazioni comunicative, nel rispetto delle regole con messaggi sufficientemente chiari, ma non sempre pertinenti. Produce testi discretamente corretti.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Ascolta in modo discontinuo e coglie </w:t>
            </w:r>
            <w:r w:rsidDel="00000000" w:rsidR="00000000" w:rsidRPr="00000000">
              <w:rPr>
                <w:highlight w:val="yellow"/>
                <w:rtl w:val="0"/>
              </w:rPr>
              <w:t xml:space="preserve">solo alcune informazioni del testo</w:t>
            </w:r>
            <w:r w:rsidDel="00000000" w:rsidR="00000000" w:rsidRPr="00000000">
              <w:rPr>
                <w:rtl w:val="0"/>
              </w:rPr>
              <w:t xml:space="preserve">. La lettura è lenta e incerta. Comprende, se guidato, semplici tipologie testuali . Interviene in varie situazioni comunicative solo se sollecitato e non sempre in modo chiaro e pertinente. Produce semplici testi in maniera guidata.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L’ascolto e la comprensione sono scarsi e lacunosi.  La lettura è inadeguata rispetto alla classe di appartenenza, tale da compromettere la comprensione anche di semplici testi. Gli interventi nelle varie situazioni comunicative sono assenti o comunque poco chiari e non pertinenti.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La produzione scritta non è autonoma.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