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Layout w:type="fixed"/>
        <w:tblLook w:val="0400"/>
      </w:tblPr>
      <w:tblGrid>
        <w:gridCol w:w="1003"/>
        <w:gridCol w:w="7832"/>
        <w:gridCol w:w="941"/>
        <w:tblGridChange w:id="0">
          <w:tblGrid>
            <w:gridCol w:w="1003"/>
            <w:gridCol w:w="7832"/>
            <w:gridCol w:w="941"/>
          </w:tblGrid>
        </w:tblGridChange>
      </w:tblGrid>
      <w:tr>
        <w:trPr>
          <w:trHeight w:val="1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spacing w:line="276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563880" cy="61722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617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Ministero dell’Istruzione, dell’Università e della Ricerca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Istituto Comprensivo Statale Matilde di Canossa “</w:t>
            </w:r>
            <w:r w:rsidDel="00000000" w:rsidR="00000000" w:rsidRPr="00000000">
              <w:rPr>
                <w:rFonts w:ascii="Verdana" w:cs="Verdana" w:eastAsia="Verdana" w:hAnsi="Verdana"/>
                <w:i w:val="1"/>
                <w:sz w:val="18"/>
                <w:szCs w:val="18"/>
                <w:rtl w:val="0"/>
              </w:rPr>
              <w:t xml:space="preserve">Terre matildiche mantovane”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Via E.Dugoni, 26 – 46027 San Benedetto Po  (MN)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Tel: 0376 615146     Fax: 0376 615280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email: </w:t>
            </w: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  email: </w:t>
            </w: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direzionesanbpo@libero.it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email certificata: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mnic834003@pec.istruzione.it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sito istituzionale: </w:t>
            </w:r>
            <w:hyperlink r:id="rId10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8"/>
                  <w:szCs w:val="18"/>
                  <w:u w:val="single"/>
                  <w:rtl w:val="0"/>
                </w:rPr>
                <w:t xml:space="preserve">http://www.icsanbenedettopo.gov.it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tabs>
                <w:tab w:val="center" w:pos="4819"/>
                <w:tab w:val="right" w:pos="9638"/>
              </w:tabs>
              <w:contextualSpacing w:val="0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</w:rPr>
              <w:drawing>
                <wp:inline distB="0" distT="0" distL="0" distR="0">
                  <wp:extent cx="457200" cy="769620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696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SCUOLA PRIMARIA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SCHEDA DI CORRISPONDENZA VOTAZIONI IN DECIMI E LIVELLI DI APPRENDIMENTO</w:t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Lingua inglese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60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55"/>
        <w:gridCol w:w="7305"/>
        <w:tblGridChange w:id="0">
          <w:tblGrid>
            <w:gridCol w:w="2355"/>
            <w:gridCol w:w="730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VOTAZIONE IN DECIMI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DESCRITTORI 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dimostra di comprendere e memorizzare con immediatezza messaggi verbali orali (lessico, istruzioni, espressioni, strutture, ecc..)</w:t>
            </w:r>
            <w:r w:rsidDel="00000000" w:rsidR="00000000" w:rsidRPr="00000000">
              <w:rPr>
                <w:vertAlign w:val="subscript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  <w:t xml:space="preserve"> di produrre e ripetere con sicurezza e padronanza elementi della lingua; di pronunciare in modo corretto ed articolato; di riconoscere e comprendere parole, frasi e semplici testi; di ricavare con facilità informazioni di base ed espressioni di uso comune; di copiare, ricomporre, produrre parole, frasi e semplici testi con precisione e consapevolezza.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dimostra di comprendere e memorizzare messaggi verbali orali (lessico, istruzioni, espressioni, strutture, ecc..); di memorizzare, produrre e ripetere con sicurezza elementi della lingua;di pronunciare in modo appropriato; di riconoscere e comprendere parole, frasi e semplici testi;di ricavare informazioni di base ed espressioni di uso comune; di copiare, ricomporre, produrre parole, frasi e semplici testi con precisione.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dimostra di comprendere e memorizzare messaggi verbali orali (lessico, istruzioni, espressioni, strutture, ecc..); di memorizzare, produrre e ripetere in modo adeguato elementi della lingua;di pronunciare in modo chiaro; di riconoscere e comprendere parole, frasi e semplici testi; di ricavare informazioni di base ed espressioni di uso comune; di copiare, ricomporre, produrre parole, frasi e semplici testi.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dimostra di non comprendere completamente messaggi verbali orali e richiede il supporto dell’insegnante con più ascolti; di ripetere,  produrre e memorizzare parole ed espressioni, se guidato; di pronunciare in modo comprensibile ma generico; di riconoscere e comprendere con difficoltà parole, frasi e semplici testi; di copiare, ricomporre, produrre parole e frasi. 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dimostra di comprendere con alcune difficoltà e va supportato con più ascolti e ripetizioni; si  esprime con una certa insicurezza, utilizzando in parte le espressioni e le strutture conosciute; pronuncia in modo poco chiaro; dimostra incertezza nel riconoscimento e nella comprensione di parole, frasi e semplici testi; copia  parole e semplici frasi.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tabs>
                <w:tab w:val="left" w:pos="2280"/>
              </w:tabs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L’alunno dimostra frammentarietà nella competenza dell’ascolto e comprende solo pochi vocaboli ed espressioni note; si esprime con incertezza ed in modo non comprensibile; non interagisce e necessita del continuo supporto dell’insegnante; incontra difficoltà nel riconoscimento e comprensione di parole e frasi; copia con estrema difficoltà parole e semplici frasi.</w:t>
            </w:r>
          </w:p>
        </w:tc>
      </w:tr>
    </w:tbl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280"/>
        </w:tabs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hyperlink" Target="http://www.icsanbenedettopo.gov.it" TargetMode="External"/><Relationship Id="rId9" Type="http://schemas.openxmlformats.org/officeDocument/2006/relationships/hyperlink" Target="mailto:mnic834003@pec.postamsw.it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mailto:direzionesanbpo@libero.it" TargetMode="External"/><Relationship Id="rId8" Type="http://schemas.openxmlformats.org/officeDocument/2006/relationships/hyperlink" Target="mailto:direzionesanbpo@lib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