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SECONDARIA DI PRIMO GRADO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DISCIPLINA: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EDUCAZIONE FISICA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223"/>
        <w:tblGridChange w:id="0">
          <w:tblGrid>
            <w:gridCol w:w="2405"/>
            <w:gridCol w:w="722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contextualSpacing w:val="0"/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Partecipa in modo assiduo, l’interesse e la disponibilità sono costanti.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Disinvolta sicurezza, ottima versatilità ed organica conoscenza dei contenuti proposti. Acquisisce il gesto tecnico in modo personalizzato e lo esegue con naturalezza ed efficacia. E’ consapevole delle risposte motorie efficaci e personali in situazioni complesse.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rPr>
                <w:rFonts w:ascii="Calibri" w:cs="Calibri" w:eastAsia="Calibri" w:hAnsi="Calibri"/>
                <w:color w:val="0000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La conoscenza teorica è completa ed esposta brillantemente con capacità di elaborazione personale. 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Padroneggia i molteplici linguaggi specifici, comunicativi ed espressivi.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Applica in modo autonomo dei comportamenti che tutelano la salute e la sicurezza personale.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ind w:left="0" w:right="80" w:firstLine="0"/>
              <w:contextualSpacing w:val="0"/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La partecipazione è attiva, costruttiva e finalizzata alla realizzazione ottimale del risultato, l’attenzione e l’interesse sono costanti.                    Utilizza le variabili spazio-temporali funzionali alla realizzazione del gesto tecnico in situazione sportiva.</w:t>
            </w:r>
          </w:p>
          <w:p w:rsidR="00000000" w:rsidDel="00000000" w:rsidP="00000000" w:rsidRDefault="00000000" w:rsidRPr="00000000">
            <w:pPr>
              <w:widowControl w:val="0"/>
              <w:ind w:left="0" w:right="80" w:firstLine="0"/>
              <w:contextualSpacing w:val="0"/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Acquisizione automatizzata e fatta propria della tecnica del gesto sportivo ed eseguita con naturalezza.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00000a"/>
                <w:rtl w:val="0"/>
              </w:rPr>
              <w:t xml:space="preserve"> </w:t>
              <w:tab/>
              <w:tab/>
              <w:t xml:space="preserve"> </w:t>
              <w:tab/>
              <w:t xml:space="preserve"> </w:t>
              <w:tab/>
              <w:t xml:space="preserve">     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La conoscenza teorica è sicura con uso di terminologia appropriata su qualsiasi argomento esposta con stile personale. </w:t>
              <w:tab/>
              <w:tab/>
              <w:t xml:space="preserve"> </w:t>
              <w:tab/>
              <w:t xml:space="preserve"> Applica i comportamenti che tutelano la salute e la sicurezza personale.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40" w:lineRule="auto"/>
              <w:ind w:left="6.000000000000085" w:firstLine="0"/>
              <w:contextualSpacing w:val="0"/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L’impegno è costante, la partecipazione attiva e costruttiva. L’attenzione e l’interesse assidui. Le conoscenze tecniche sono complete e approfondite. Elabora risposte motorie efficace ed economica. 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00000a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Formula il gesto tecnico in modo corretto in virtù di una proficua e costante applicazione. La conoscenza teorica è sicura e precisa sulla maggior parte degli argomenti richiesti ed esposta con uso di terminologia tecnica appropriata. 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Utilizza in modo personali linguaggi specifici, comunicativi ed espressivi. Applica comportamenti che tutelano la salute, la sicurezza personale e il benessere.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40" w:lineRule="auto"/>
              <w:ind w:left="6.000000000000085" w:firstLine="0"/>
              <w:contextualSpacing w:val="0"/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L’impegno, la partecipazione, l’attenzione sono costanti ed l’interesse è attivo. Le conoscenze tecniche di discreto livello. Coordina e combina le varie parti del corpo in molteplici situazioni motorie. Esegue il gesto atletico in modo corretto ma non spontaneo. Conoscenza teorica adeguata e discreto utilizzo della terminologia specifica. Esprime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 i linguaggi motori specifici, comunicativi con soluzioni personali. 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 Apprende i fondamentali comportamenti di sicurezza, prevenzione e promozione della salute per il proprio benessere.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40" w:lineRule="auto"/>
              <w:ind w:left="0" w:right="80" w:firstLine="0"/>
              <w:contextualSpacing w:val="0"/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La partecipazione e l’interesse non sono sempre costanti. Le conoscenze risultano essenziali e sufficientemente corrette.      Coordina e combina semplici movimenti</w:t>
            </w:r>
            <w:r w:rsidDel="00000000" w:rsidR="00000000" w:rsidRPr="00000000">
              <w:rPr>
                <w:color w:val="00000a"/>
                <w:rtl w:val="0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Acquisisce le conoscenze tecniche tale da garantire un’esecuzione motoria sufficiente. Conoscenza teorica essenziale degli argomenti più importanti. 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Utilizza se guidato linguaggi motori specifici, comunicativi ed espressivi in modo codificato. Applica comportamenti essenziali per la salvaguardia della salute, della sicurezza personale e del benessere.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40" w:lineRule="auto"/>
              <w:ind w:left="0" w:right="80" w:firstLine="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Impegno discontinuo e partecipazione saltuaria. Carente interesse per tutte le attività proposte. Conoscenze superficiali e non del tutto corrette degli schemi motori elementari. Le scarse nozioni non gli consentono l’acquisizione del gesto atletico. La conoscenza teorica è superficiale e generica. Traduce anche se guidato solo alcuni linguaggi specifici, comunicativi ed espressivi. 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Non sempre applica comportamenti essenziali per la salvaguardia della salute, della sicurezza personale e del benessere.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40" w:lineRule="auto"/>
              <w:ind w:right="8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Impegno e partecipazione scarsi. Disinteresse per la disciplina. Lacunosa conoscenza degli schemi motori di base. Incapacità di applicare al gesto tecnico richiesto i necessari schemi motori.        Scarsa conoscenza della parte teorica. </w:t>
              <w:tab/>
              <w:tab/>
              <w:t xml:space="preserve"> </w:t>
              <w:tab/>
              <w:t xml:space="preserve"> </w:t>
              <w:tab/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nche se guidato non traduce linguaggi specifici, comunicativi ed espressivi.</w:t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Non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 sempre applica, anche se guidato, i comportamenti essenziali per la salvaguardia della salute, della sicurezza personale e del benessere.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Impegno e partecipazione assenti. Disinteresse totale per la disciplina.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Riconosce le varie parti del corpo ma non le coordina in relazione allo spazio. Non realizza nessuna delle attività corporee proposte.                 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Si rifiuta di tradurre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linguaggi specifici, comunicativi ed espressivi.     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Non applica i comportamenti essenziali per la salvaguardia della salute, della sicurezza personale e del benessere.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Impegno e partecipazione assenti. Disinteresse totale per la disciplina. Riconosce alcune parti dello schema corporeo ma non le coordina in relazione allo spazio. Non realizza nessuna delle attività corporee proposte. 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Si rifiuta di tradurre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linguaggi specifici, comunicativi ed espressivi. Non 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applica i comportamenti essenziali per la salvaguardia della salute, della sicurezza personale e del benessere.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40" w:lineRule="auto"/>
              <w:ind w:left="0" w:right="80" w:firstLine="0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Impegno e partecipazione assenti. Disinteresse totale per la disciplina.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Non riconoscere le varie parti del corpo, la loro funzionalità e potenzialità in rapporto con lo spazio. Non realizza nessuna delle attività corporee proposte. 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Si rifiuta di tradurre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linguaggi specifici, comunicativi ed espressivi. Non </w:t>
            </w: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applica i comportamenti essenziali per la salvaguardia della salute, della sicurezza personale e del benessere.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